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numPr>
          <w:ilvl w:val="0"/>
          <w:numId w:val="0"/>
        </w:numPr>
        <w:spacing w:line="360" w:lineRule="auto"/>
        <w:jc w:val="center"/>
        <w:rPr>
          <w:rFonts w:hint="eastAsia" w:ascii="仿宋" w:hAnsi="仿宋" w:eastAsia="仿宋" w:cs="仿宋"/>
          <w:b/>
          <w:bCs/>
          <w:sz w:val="36"/>
          <w:szCs w:val="36"/>
          <w:lang w:val="en-US" w:eastAsia="zh-CN"/>
        </w:rPr>
      </w:pPr>
      <w:bookmarkStart w:id="0" w:name="_GoBack"/>
      <w:r>
        <w:rPr>
          <w:rFonts w:hint="eastAsia" w:ascii="仿宋" w:hAnsi="仿宋" w:eastAsia="仿宋" w:cs="仿宋"/>
          <w:b/>
          <w:bCs/>
          <w:sz w:val="36"/>
          <w:szCs w:val="36"/>
        </w:rPr>
        <w:t>拟遴选医用</w:t>
      </w:r>
      <w:r>
        <w:rPr>
          <w:rFonts w:hint="eastAsia" w:ascii="仿宋" w:hAnsi="仿宋" w:eastAsia="仿宋" w:cs="仿宋"/>
          <w:b/>
          <w:bCs/>
          <w:sz w:val="36"/>
          <w:szCs w:val="36"/>
          <w:lang w:val="en-US" w:eastAsia="zh-CN"/>
        </w:rPr>
        <w:t>试剂</w:t>
      </w:r>
      <w:r>
        <w:rPr>
          <w:rFonts w:hint="eastAsia" w:ascii="仿宋" w:hAnsi="仿宋" w:eastAsia="仿宋" w:cs="仿宋"/>
          <w:b/>
          <w:bCs/>
          <w:sz w:val="36"/>
          <w:szCs w:val="36"/>
          <w:lang w:eastAsia="zh-CN"/>
        </w:rPr>
        <w:t>、</w:t>
      </w:r>
      <w:r>
        <w:rPr>
          <w:rFonts w:hint="eastAsia" w:ascii="仿宋" w:hAnsi="仿宋" w:eastAsia="仿宋" w:cs="仿宋"/>
          <w:b/>
          <w:bCs/>
          <w:sz w:val="36"/>
          <w:szCs w:val="36"/>
        </w:rPr>
        <w:t>耗材</w:t>
      </w:r>
      <w:r>
        <w:rPr>
          <w:rFonts w:hint="eastAsia" w:ascii="仿宋" w:hAnsi="仿宋" w:eastAsia="仿宋" w:cs="仿宋"/>
          <w:b/>
          <w:bCs/>
          <w:sz w:val="36"/>
          <w:szCs w:val="36"/>
          <w:lang w:val="en-US" w:eastAsia="zh-CN"/>
        </w:rPr>
        <w:t>明细表</w:t>
      </w:r>
      <w:bookmarkEnd w:id="0"/>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1、检验科</w:t>
      </w:r>
    </w:p>
    <w:tbl>
      <w:tblPr>
        <w:tblStyle w:val="3"/>
        <w:tblW w:w="905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794"/>
        <w:gridCol w:w="226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3794"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226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规格型号</w:t>
            </w:r>
          </w:p>
        </w:tc>
        <w:tc>
          <w:tcPr>
            <w:tcW w:w="244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人附睾蛋白4定标液HE4 Calset</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用于临床免疫项目的校准及质量控制等相关检测，配套设备：全自动化学生化分析仪cobas8000 e602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人附睾蛋白4质控品PreciControl HE4</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癌胚抗原定标液 CEA CalSet</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 x 1.0 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甲胎蛋白定标液 AFP CalSet II</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糖类抗原125定标液 CA 125 II CalSet II</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糖类抗原15-3定标液 CA 15-3 II CalSet</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 x 1.0 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糖类抗原19-9定标液 CA 19-9 CalSet</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肿瘤标志物质控品 PreciControl Tumor Marker</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4x3.0mL/盒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肺癌相关肿瘤标志物质控品 PreciControl Lung Cancer</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 x 3.0 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户尘螨d1过敏原特异性IgE抗体检测试剂盒（荧光免疫法）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用于过敏原检测，配套设备：全自动荧光免疫分析仪Phadia 250</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用于过敏原检测，配套设备：全自动荧光免疫分析仪Phadia 250</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用于过敏原检测，配套设备：全自动荧光免疫分析仪Phadia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粉尘螨d2过敏原特异性IgE抗体检测试剂盒（荧光免疫法）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猫皮屑e1过敏原特异性IgE抗体检测试剂盒（荧光免疫法）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狗皮屑e5过敏原特异性IgE检测试剂（荧光免疫法）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德国小蠊i6过敏原特异性IgE抗体检测试剂盒（荧光免疫法）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烟曲霉m3过敏原特异性IgE抗体检测试剂盒（荧光免疫法）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链格孢m6过敏原特异性IgE抗体检测试剂盒（荧光免疫法）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艾蒿w6过敏原特异性IgE检测试剂（荧光免疫法）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过敏原特异性IgE抗体检测试剂盒（荧光免疫法） ImmunoCAP Phadiatop</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48人份/盒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普通白桦树t3 过敏原特异性IgE抗体检测试剂盒(荧光免疫法)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刺柏t6过敏原特异性IgE抗体检测试剂盒（荧光免疫法）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16人份/支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总IgE酶标二抗(P250)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6x5.3ml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总IgE校准品(P250)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规格1：5套/盒，每套包括2、10、50、200、1000、5000kU/L 各 1 孔，0.2ml/孔</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总IgE曲线质控品(P250)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规格1：5套/盒，每套包括：水平1：3x0.1ml;水平2：3x0.1ml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特异性IgE酶标二抗(P250)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 x 20.5ml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特异性IgE校准品(P250)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规格1：5套/盒，每套包括：0、0.35、0.7、3.5、17.5、100kU/L各 1 孔，0.2ml/孔</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特异性IgE曲线质控品(P250)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规格1：5套/盒，每套包括：水平1：3x0.1ml;水平2：3x0.1ml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全自动免疫检验系统用底物液(P250)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 x 11ml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全自动免疫检验系统用终止液(P250)</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 x 119ml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维护液</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10支/盒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Fluoro C 荧光检测质控药盒</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6支/盒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乙型肝炎病毒表面抗原检测试剂盒（化学发光法）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用于传染病检测，配套设备：全自动化学发光仪HISCL-5000</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用于传染病检测，配套设备：全自动化学发光仪HISCL-5000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乙型肝炎病毒表面抗体检测试剂盒（化学发光法）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乙型肝炎病毒e抗原检测试剂盒（化学发光法）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乙型肝炎病毒e抗体检测试剂盒（化学发光法）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乙型肝炎病毒核心抗体检测试剂盒（化学发光法）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梅毒螺旋体抗体检测试剂盒（化学发光法）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37</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丙型肝炎病毒抗体检测试剂盒（化学发光法）</w:t>
            </w:r>
          </w:p>
        </w:tc>
        <w:tc>
          <w:tcPr>
            <w:tcW w:w="2265" w:type="dxa"/>
            <w:vAlign w:val="top"/>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38</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人类免疫缺陷病毒抗原抗体检测试剂盒（化学发光法）</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乙型肝炎病毒表面抗原校准品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1ml*6瓶/盒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乙型肝炎病毒表面抗体校准品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1ml*4瓶/盒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乙型肝炎病毒e抗原校准品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乙型肝炎病毒e抗体校准品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43</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乙型肝炎病毒核心抗体校准品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梅毒螺旋体抗体校准品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丙型肝炎病毒抗体校准品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人类免疫缺陷病毒抗原抗体校准品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1ml*2瓶/盒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47</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人类免疫缺陷病毒抗原抗体质控品</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3ml*6瓶/盒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脑利钠肽前体检测试剂盒(电化学发光法)Elecsys proBNP II</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100测试/盒</w:t>
            </w:r>
          </w:p>
        </w:tc>
        <w:tc>
          <w:tcPr>
            <w:tcW w:w="2445"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用于产科免疫项目的相关检测，配套设备：全自动化学生化分析仪cobas 8000 e 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脑利钠肽前体定标液 proBNP ⅡCalSet</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50</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白介素6检测试剂盒(电化学发光法)Elecsys IL-6</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51</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白介素6定标液 IL-6 Calset</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4x2.0mL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52</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胰岛素检测试剂盒(电化学发光法) Elecsys Insulin</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53</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胰岛素定标液 Insulin CalSet</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54</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多标记物质控品 PreciControl Multimarker</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6×2.0mL（冻干品，复溶体积）</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55</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性激素结合球蛋白检测试剂盒(电化学发光法)Elecsys SHBG</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100测试/盒</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w:t>
            </w:r>
          </w:p>
        </w:tc>
        <w:tc>
          <w:tcPr>
            <w:tcW w:w="3794" w:type="dxa"/>
            <w:vAlign w:val="center"/>
          </w:tcPr>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性激素结合球蛋白定标液 SHBG CalSet</w:t>
            </w:r>
          </w:p>
        </w:tc>
        <w:tc>
          <w:tcPr>
            <w:tcW w:w="226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4×1mL</w:t>
            </w:r>
          </w:p>
        </w:tc>
        <w:tc>
          <w:tcPr>
            <w:tcW w:w="2445"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bl>
    <w:p>
      <w:pPr>
        <w:numPr>
          <w:ilvl w:val="0"/>
          <w:numId w:val="0"/>
        </w:num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vertAlign w:val="baseline"/>
          <w:lang w:val="en-US" w:eastAsia="zh-CN"/>
        </w:rPr>
        <w:t>2、乳腺科</w:t>
      </w:r>
    </w:p>
    <w:tbl>
      <w:tblPr>
        <w:tblStyle w:val="3"/>
        <w:tblW w:w="983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545"/>
        <w:gridCol w:w="3531"/>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154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申请科室</w:t>
            </w:r>
          </w:p>
        </w:tc>
        <w:tc>
          <w:tcPr>
            <w:tcW w:w="3531"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420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4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乳腺科</w:t>
            </w:r>
          </w:p>
        </w:tc>
        <w:tc>
          <w:tcPr>
            <w:tcW w:w="3531"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一次性使用植入式给药装置留置针</w:t>
            </w:r>
          </w:p>
        </w:tc>
        <w:tc>
          <w:tcPr>
            <w:tcW w:w="4200"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用于接入通过手术植入的血管内输液港， 适用于液体和药物的输注以及通过手术植入的血管内输液港提取血样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54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乳腺科</w:t>
            </w:r>
          </w:p>
        </w:tc>
        <w:tc>
          <w:tcPr>
            <w:tcW w:w="3531"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乳腺组织标记定位针/标记物</w:t>
            </w:r>
          </w:p>
        </w:tc>
        <w:tc>
          <w:tcPr>
            <w:tcW w:w="4200"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用于在影像引导下经皮穿刺，留置于乳腺病灶或腋窝淋巴结中，在后续手术以及影像学检查中提供病灶的精准定位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54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乳腺科</w:t>
            </w:r>
          </w:p>
        </w:tc>
        <w:tc>
          <w:tcPr>
            <w:tcW w:w="3531"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耐高压植入式给药装置及附件</w:t>
            </w:r>
          </w:p>
        </w:tc>
        <w:tc>
          <w:tcPr>
            <w:tcW w:w="4200"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用于减轻药物对患者血管刺激而置入体内的专业输液装置</w:t>
            </w:r>
          </w:p>
        </w:tc>
      </w:tr>
    </w:tbl>
    <w:p>
      <w:pPr>
        <w:numPr>
          <w:ilvl w:val="0"/>
          <w:numId w:val="1"/>
        </w:numPr>
        <w:spacing w:line="360" w:lineRule="auto"/>
        <w:ind w:left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生殖调节科</w:t>
      </w:r>
    </w:p>
    <w:tbl>
      <w:tblPr>
        <w:tblStyle w:val="3"/>
        <w:tblW w:w="983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530"/>
        <w:gridCol w:w="3546"/>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153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申请科室</w:t>
            </w:r>
          </w:p>
        </w:tc>
        <w:tc>
          <w:tcPr>
            <w:tcW w:w="3546"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420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530" w:type="dxa"/>
            <w:vMerge w:val="restart"/>
            <w:vAlign w:val="center"/>
          </w:tcPr>
          <w:p>
            <w:pPr>
              <w:numPr>
                <w:ilvl w:val="0"/>
                <w:numId w:val="0"/>
              </w:numPr>
              <w:spacing w:line="360" w:lineRule="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lang w:val="en-US" w:eastAsia="zh-CN"/>
              </w:rPr>
              <w:t>生殖调节科</w:t>
            </w:r>
          </w:p>
        </w:tc>
        <w:tc>
          <w:tcPr>
            <w:tcW w:w="3546" w:type="dxa"/>
            <w:vAlign w:val="center"/>
          </w:tcPr>
          <w:p>
            <w:pPr>
              <w:numPr>
                <w:ilvl w:val="0"/>
                <w:numId w:val="0"/>
              </w:numPr>
              <w:spacing w:line="360" w:lineRule="auto"/>
              <w:jc w:val="left"/>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γcu含吲哚美辛记忆合金宫内节育器</w:t>
            </w:r>
          </w:p>
        </w:tc>
        <w:tc>
          <w:tcPr>
            <w:tcW w:w="4200" w:type="dxa"/>
            <w:vAlign w:val="center"/>
          </w:tcPr>
          <w:p>
            <w:pPr>
              <w:numPr>
                <w:ilvl w:val="0"/>
                <w:numId w:val="0"/>
              </w:numPr>
              <w:spacing w:line="360" w:lineRule="auto"/>
              <w:jc w:val="left"/>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可避免临床患者带环后疼痛、异物感、不适感，减少环植入宫腔，子宫出血、下腹疼痛感；同时在宫腔内释放的吲哚美辛，起到消炎止痛止血等作用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530"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rPr>
            </w:pPr>
          </w:p>
        </w:tc>
        <w:tc>
          <w:tcPr>
            <w:tcW w:w="3546" w:type="dxa"/>
            <w:vAlign w:val="center"/>
          </w:tcPr>
          <w:p>
            <w:pPr>
              <w:numPr>
                <w:ilvl w:val="0"/>
                <w:numId w:val="0"/>
              </w:numPr>
              <w:spacing w:line="360" w:lineRule="auto"/>
              <w:jc w:val="center"/>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固定式宫内节育器</w:t>
            </w:r>
          </w:p>
        </w:tc>
        <w:tc>
          <w:tcPr>
            <w:tcW w:w="4200" w:type="dxa"/>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用于解决正常子宫放置宫腔避孕的同时，还能解决宫口松弛，宫腔大于9cm、宫腔小于5.5cm的宫腔异常形态的患者子宫，还可以将曼月乐固定在固定式节育器的尾丝上，起到治疗子宫腺肌症的同时，并防止环的脱落</w:t>
            </w:r>
          </w:p>
        </w:tc>
      </w:tr>
    </w:tbl>
    <w:p>
      <w:pPr>
        <w:numPr>
          <w:ilvl w:val="0"/>
          <w:numId w:val="0"/>
        </w:num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sz w:val="24"/>
          <w:szCs w:val="24"/>
          <w:vertAlign w:val="baseline"/>
          <w:lang w:val="en-US" w:eastAsia="zh-CN"/>
        </w:rPr>
        <w:t>4</w:t>
      </w:r>
      <w:r>
        <w:rPr>
          <w:rFonts w:hint="eastAsia" w:ascii="仿宋" w:hAnsi="仿宋" w:eastAsia="仿宋" w:cs="仿宋"/>
          <w:b/>
          <w:bCs/>
          <w:sz w:val="24"/>
          <w:szCs w:val="24"/>
          <w:vertAlign w:val="baseline"/>
          <w:lang w:val="en-US" w:eastAsia="zh-CN"/>
        </w:rPr>
        <w:t>.</w:t>
      </w:r>
      <w:r>
        <w:rPr>
          <w:rFonts w:hint="eastAsia" w:ascii="仿宋" w:hAnsi="仿宋" w:eastAsia="仿宋" w:cs="仿宋"/>
          <w:b/>
          <w:bCs/>
          <w:sz w:val="24"/>
          <w:szCs w:val="24"/>
          <w:lang w:val="en-US" w:eastAsia="zh-CN"/>
        </w:rPr>
        <w:t>消毒供应中心</w:t>
      </w:r>
    </w:p>
    <w:tbl>
      <w:tblPr>
        <w:tblStyle w:val="3"/>
        <w:tblW w:w="983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680"/>
        <w:gridCol w:w="3381"/>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168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申请科室</w:t>
            </w:r>
          </w:p>
        </w:tc>
        <w:tc>
          <w:tcPr>
            <w:tcW w:w="3381"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421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68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消毒供应中心</w:t>
            </w:r>
          </w:p>
        </w:tc>
        <w:tc>
          <w:tcPr>
            <w:tcW w:w="3381"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封口测试卡/纸</w:t>
            </w:r>
          </w:p>
        </w:tc>
        <w:tc>
          <w:tcPr>
            <w:tcW w:w="4215" w:type="dxa"/>
            <w:vAlign w:val="center"/>
          </w:tcPr>
          <w:p>
            <w:pPr>
              <w:numPr>
                <w:ilvl w:val="0"/>
                <w:numId w:val="0"/>
              </w:numPr>
              <w:spacing w:line="360" w:lineRule="auto"/>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用于每日在使用前对医用热封机的准确性和闭合完好性进行参数检查</w:t>
            </w:r>
          </w:p>
        </w:tc>
      </w:tr>
    </w:tbl>
    <w:p>
      <w:pPr>
        <w:numPr>
          <w:ilvl w:val="0"/>
          <w:numId w:val="0"/>
        </w:num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5.中西医结合科</w:t>
      </w:r>
    </w:p>
    <w:tbl>
      <w:tblPr>
        <w:tblStyle w:val="3"/>
        <w:tblW w:w="9831"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710"/>
        <w:gridCol w:w="3366"/>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171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申请科室</w:t>
            </w:r>
          </w:p>
        </w:tc>
        <w:tc>
          <w:tcPr>
            <w:tcW w:w="3366"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420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10" w:type="dxa"/>
            <w:vMerge w:val="restart"/>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中西医结合科</w:t>
            </w:r>
          </w:p>
        </w:tc>
        <w:tc>
          <w:tcPr>
            <w:tcW w:w="3366"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火罐</w:t>
            </w:r>
          </w:p>
        </w:tc>
        <w:tc>
          <w:tcPr>
            <w:tcW w:w="4200" w:type="dxa"/>
            <w:vAlign w:val="center"/>
          </w:tcPr>
          <w:p>
            <w:pPr>
              <w:numPr>
                <w:ilvl w:val="0"/>
                <w:numId w:val="0"/>
              </w:num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用于理疗使用，配套设备：艾灸床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10"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3366" w:type="dxa"/>
            <w:vAlign w:val="center"/>
          </w:tcPr>
          <w:p>
            <w:pPr>
              <w:numPr>
                <w:ilvl w:val="0"/>
                <w:numId w:val="0"/>
              </w:numPr>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医用可吸收聚乙醇酸手术缝合线</w:t>
            </w:r>
          </w:p>
        </w:tc>
        <w:tc>
          <w:tcPr>
            <w:tcW w:w="4200" w:type="dxa"/>
            <w:vAlign w:val="center"/>
          </w:tcPr>
          <w:p>
            <w:pPr>
              <w:numPr>
                <w:ilvl w:val="0"/>
                <w:numId w:val="0"/>
              </w:num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用于多种急慢性疾病及体重的控制的持续穴位刺激。</w:t>
            </w:r>
          </w:p>
        </w:tc>
      </w:tr>
    </w:tbl>
    <w:p>
      <w:pPr>
        <w:numPr>
          <w:ilvl w:val="0"/>
          <w:numId w:val="0"/>
        </w:numPr>
        <w:spacing w:line="360" w:lineRule="auto"/>
        <w:ind w:leftChars="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6.妇一科</w:t>
      </w:r>
    </w:p>
    <w:tbl>
      <w:tblPr>
        <w:tblStyle w:val="3"/>
        <w:tblW w:w="9846"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530"/>
        <w:gridCol w:w="3531"/>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序号</w:t>
            </w:r>
          </w:p>
        </w:tc>
        <w:tc>
          <w:tcPr>
            <w:tcW w:w="153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申请科室</w:t>
            </w:r>
          </w:p>
        </w:tc>
        <w:tc>
          <w:tcPr>
            <w:tcW w:w="3531"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产品名称</w:t>
            </w:r>
          </w:p>
        </w:tc>
        <w:tc>
          <w:tcPr>
            <w:tcW w:w="4230" w:type="dxa"/>
            <w:vAlign w:val="center"/>
          </w:tcPr>
          <w:p>
            <w:pPr>
              <w:numPr>
                <w:ilvl w:val="0"/>
                <w:numId w:val="0"/>
              </w:numPr>
              <w:spacing w:line="360" w:lineRule="auto"/>
              <w:jc w:val="center"/>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rPr>
              <w:t>主要用途（配套的现有设备，开展的临床项目等）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30"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妇一科</w:t>
            </w:r>
          </w:p>
        </w:tc>
        <w:tc>
          <w:tcPr>
            <w:tcW w:w="3531" w:type="dxa"/>
            <w:vAlign w:val="center"/>
          </w:tcPr>
          <w:p>
            <w:pPr>
              <w:numPr>
                <w:ilvl w:val="0"/>
                <w:numId w:val="0"/>
              </w:numPr>
              <w:spacing w:line="360" w:lineRule="auto"/>
              <w:jc w:val="center"/>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一次性使用中性电极</w:t>
            </w:r>
          </w:p>
        </w:tc>
        <w:tc>
          <w:tcPr>
            <w:tcW w:w="4230" w:type="dxa"/>
            <w:vAlign w:val="center"/>
          </w:tcPr>
          <w:p>
            <w:pPr>
              <w:numPr>
                <w:ilvl w:val="0"/>
                <w:numId w:val="0"/>
              </w:num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用于妇科治疗，</w:t>
            </w:r>
            <w:r>
              <w:rPr>
                <w:rFonts w:hint="eastAsia" w:ascii="仿宋" w:hAnsi="仿宋" w:eastAsia="仿宋" w:cs="仿宋"/>
                <w:b w:val="0"/>
                <w:bCs w:val="0"/>
                <w:sz w:val="24"/>
                <w:szCs w:val="24"/>
                <w:vertAlign w:val="baseline"/>
                <w:lang w:val="en-US" w:eastAsia="zh-CN"/>
              </w:rPr>
              <w:t>配套设备：</w:t>
            </w:r>
            <w:r>
              <w:rPr>
                <w:rFonts w:hint="default" w:ascii="仿宋" w:hAnsi="仿宋" w:eastAsia="仿宋" w:cs="仿宋"/>
                <w:sz w:val="24"/>
                <w:szCs w:val="24"/>
                <w:vertAlign w:val="baseline"/>
                <w:lang w:val="en-US" w:eastAsia="zh-CN"/>
              </w:rPr>
              <w:t>BBT-RT-F型妇科射频治疗仪</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375E3"/>
    <w:multiLevelType w:val="singleLevel"/>
    <w:tmpl w:val="283375E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90BD6"/>
    <w:rsid w:val="1099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2025-06-09T06:25:00Z</dcterms:created>
  <dc:creator>dw</dc:creator>
  <cp:lastModifiedBy>dw</cp:lastModifiedBy>
  <dcterms:modified xsi:type="dcterms:W3CDTF">2025-06-09T06:43:02Z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C1844ADD2E004BD6BCE106610C754AD5</vt:lpwstr>
  </property>
</Properties>
</file>